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E2319" w14:textId="77777777" w:rsidR="00C41EBE" w:rsidRPr="00E04C04" w:rsidRDefault="00BB5C94" w:rsidP="00C41EBE">
      <w:pPr>
        <w:keepNext/>
        <w:keepLines/>
        <w:spacing w:after="200" w:line="276" w:lineRule="auto"/>
        <w:contextualSpacing/>
        <w:jc w:val="left"/>
        <w:rPr>
          <w:rFonts w:ascii="Calibri" w:eastAsia="Times New Roman" w:hAnsi="Calibri" w:cs="Times New Roman"/>
          <w:b/>
          <w:bCs/>
          <w:sz w:val="24"/>
          <w:szCs w:val="24"/>
        </w:rPr>
      </w:pPr>
      <w:r w:rsidRPr="00E04C04">
        <w:rPr>
          <w:rFonts w:ascii="Calibri" w:eastAsia="Times New Roman" w:hAnsi="Calibri" w:cs="Times New Roman"/>
          <w:b/>
          <w:bCs/>
          <w:sz w:val="24"/>
          <w:szCs w:val="24"/>
        </w:rPr>
        <w:t>Proposition d’aide à l’évaluation pour l’épreuve de baccalauréat HGGSP</w:t>
      </w:r>
    </w:p>
    <w:p w14:paraId="13B563B5" w14:textId="77777777" w:rsidR="00BB5C94" w:rsidRPr="00E04C04" w:rsidRDefault="00BB5C94" w:rsidP="00C41EBE">
      <w:pPr>
        <w:keepNext/>
        <w:keepLines/>
        <w:spacing w:after="200" w:line="276" w:lineRule="auto"/>
        <w:contextualSpacing/>
        <w:jc w:val="left"/>
        <w:rPr>
          <w:rFonts w:ascii="Calibri" w:eastAsia="Times New Roman" w:hAnsi="Calibri" w:cs="Times New Roman"/>
          <w:b/>
          <w:bCs/>
          <w:sz w:val="24"/>
          <w:szCs w:val="24"/>
        </w:rPr>
      </w:pPr>
    </w:p>
    <w:p w14:paraId="30BEC057" w14:textId="379DAC19" w:rsidR="00BB5C94" w:rsidRPr="00E04C04" w:rsidRDefault="0047687E" w:rsidP="00F94B43">
      <w:pPr>
        <w:keepNext/>
        <w:keepLines/>
        <w:spacing w:after="200" w:line="276" w:lineRule="auto"/>
        <w:contextualSpacing/>
        <w:rPr>
          <w:rFonts w:ascii="Calibri" w:eastAsia="Times New Roman" w:hAnsi="Calibri" w:cs="Times New Roman"/>
          <w:bCs/>
          <w:sz w:val="24"/>
          <w:szCs w:val="24"/>
        </w:rPr>
      </w:pPr>
      <w:r w:rsidRPr="00E04C04">
        <w:rPr>
          <w:rFonts w:ascii="Calibri" w:eastAsia="Times New Roman" w:hAnsi="Calibri" w:cs="Times New Roman"/>
          <w:bCs/>
          <w:sz w:val="24"/>
          <w:szCs w:val="24"/>
        </w:rPr>
        <w:t>Le présent document est un outil d’aide à l’évaluation, dont l’usage est à disposition des IA-IPR. Il peut être utilisé, adapté pour servir à différents usages, et son usage n’est pas obligatoire.</w:t>
      </w:r>
    </w:p>
    <w:p w14:paraId="20E59C2E" w14:textId="77777777" w:rsidR="00C41EBE" w:rsidRPr="00E04C04" w:rsidRDefault="00C41EBE" w:rsidP="000C2E5A">
      <w:pPr>
        <w:keepNext/>
        <w:keepLines/>
        <w:spacing w:after="200" w:line="276" w:lineRule="auto"/>
        <w:contextualSpacing/>
        <w:jc w:val="left"/>
        <w:rPr>
          <w:rFonts w:ascii="Calibri" w:eastAsia="Times New Roman" w:hAnsi="Calibri" w:cs="Times New Roman"/>
          <w:b/>
          <w:bCs/>
          <w:sz w:val="24"/>
          <w:szCs w:val="24"/>
        </w:rPr>
      </w:pPr>
    </w:p>
    <w:p w14:paraId="23A54AA2" w14:textId="77777777" w:rsidR="00C41EBE" w:rsidRPr="00E04C04" w:rsidRDefault="00C41EBE" w:rsidP="000C2E5A">
      <w:pPr>
        <w:keepNext/>
        <w:keepLines/>
        <w:spacing w:after="200" w:line="276" w:lineRule="auto"/>
        <w:contextualSpacing/>
        <w:jc w:val="left"/>
        <w:rPr>
          <w:rFonts w:ascii="Calibri" w:eastAsia="Times New Roman" w:hAnsi="Calibri" w:cs="Times New Roman"/>
          <w:b/>
          <w:bCs/>
          <w:sz w:val="24"/>
          <w:szCs w:val="24"/>
        </w:rPr>
      </w:pPr>
    </w:p>
    <w:p w14:paraId="172CEBFD" w14:textId="131467BF" w:rsidR="00C41EBE" w:rsidRPr="00E04C04" w:rsidRDefault="0047687E" w:rsidP="00C41EBE">
      <w:pPr>
        <w:keepNext/>
        <w:keepLines/>
        <w:spacing w:after="200" w:line="276" w:lineRule="auto"/>
        <w:contextualSpacing/>
        <w:jc w:val="left"/>
        <w:rPr>
          <w:rFonts w:ascii="Calibri" w:eastAsia="Times New Roman" w:hAnsi="Calibri" w:cs="Times New Roman"/>
          <w:b/>
          <w:bCs/>
          <w:sz w:val="24"/>
          <w:szCs w:val="24"/>
        </w:rPr>
      </w:pPr>
      <w:r w:rsidRPr="00E04C04">
        <w:rPr>
          <w:rFonts w:ascii="Calibri" w:eastAsia="Times New Roman" w:hAnsi="Calibri" w:cs="Times New Roman"/>
          <w:b/>
          <w:bCs/>
          <w:sz w:val="24"/>
          <w:szCs w:val="24"/>
        </w:rPr>
        <w:t xml:space="preserve">Principes directeurs et souplesse de mise en œuvre </w:t>
      </w:r>
    </w:p>
    <w:p w14:paraId="4F1F016E" w14:textId="2CE4BB85" w:rsidR="0047687E" w:rsidRPr="00E04C04" w:rsidRDefault="0047687E" w:rsidP="0047687E">
      <w:pPr>
        <w:keepNext/>
        <w:keepLines/>
        <w:spacing w:after="200" w:line="276" w:lineRule="auto"/>
        <w:ind w:firstLine="0"/>
        <w:contextualSpacing/>
        <w:jc w:val="left"/>
        <w:rPr>
          <w:rFonts w:ascii="Calibri" w:eastAsia="Times New Roman" w:hAnsi="Calibri" w:cs="Times New Roman"/>
          <w:bCs/>
          <w:sz w:val="24"/>
          <w:szCs w:val="24"/>
        </w:rPr>
      </w:pPr>
    </w:p>
    <w:p w14:paraId="11D99066" w14:textId="426D9DEE" w:rsidR="0047687E" w:rsidRPr="00E04C04" w:rsidRDefault="0047687E" w:rsidP="00F94B43">
      <w:pPr>
        <w:keepNext/>
        <w:keepLines/>
        <w:spacing w:after="200" w:line="276" w:lineRule="auto"/>
        <w:contextualSpacing/>
        <w:rPr>
          <w:rFonts w:ascii="Calibri" w:eastAsia="Times New Roman" w:hAnsi="Calibri" w:cs="Times New Roman"/>
          <w:bCs/>
          <w:sz w:val="24"/>
          <w:szCs w:val="24"/>
        </w:rPr>
      </w:pPr>
      <w:r w:rsidRPr="00E04C04">
        <w:rPr>
          <w:rFonts w:ascii="Calibri" w:eastAsia="Times New Roman" w:hAnsi="Calibri" w:cs="Times New Roman"/>
          <w:bCs/>
          <w:sz w:val="24"/>
          <w:szCs w:val="24"/>
        </w:rPr>
        <w:t>Toutes les capacités évaluées sont importantes et dessinent des attendus. Elles sont liées aux capacités du tronc commun, dont le préambule des programmes indique qu’elles sont mises en œuvre dans l’enseignement de spécialité</w:t>
      </w:r>
      <w:r w:rsidR="00B17322" w:rsidRPr="00E04C04">
        <w:rPr>
          <w:rFonts w:ascii="Calibri" w:eastAsia="Times New Roman" w:hAnsi="Calibri" w:cs="Times New Roman"/>
          <w:bCs/>
          <w:sz w:val="24"/>
          <w:szCs w:val="24"/>
        </w:rPr>
        <w:t>, auxquelles s’ajoute une insistance sur l’adoption d’une démarche réflexive, également indiquée dans le préambule des programmes.</w:t>
      </w:r>
    </w:p>
    <w:p w14:paraId="02508BCE" w14:textId="3A4E1C30" w:rsidR="00B17322" w:rsidRPr="00E04C04" w:rsidRDefault="00B17322" w:rsidP="00F94B43">
      <w:pPr>
        <w:keepNext/>
        <w:keepLines/>
        <w:spacing w:after="200" w:line="276" w:lineRule="auto"/>
        <w:contextualSpacing/>
        <w:rPr>
          <w:rFonts w:ascii="Calibri" w:eastAsia="Times New Roman" w:hAnsi="Calibri" w:cs="Times New Roman"/>
          <w:bCs/>
          <w:sz w:val="24"/>
          <w:szCs w:val="24"/>
        </w:rPr>
      </w:pPr>
      <w:r w:rsidRPr="00E04C04">
        <w:rPr>
          <w:rFonts w:ascii="Calibri" w:eastAsia="Times New Roman" w:hAnsi="Calibri" w:cs="Times New Roman"/>
          <w:bCs/>
          <w:sz w:val="24"/>
          <w:szCs w:val="24"/>
        </w:rPr>
        <w:t>Chaque capacité peut donner lieu dans une copie à des niveaux de performance variable</w:t>
      </w:r>
      <w:r w:rsidR="00F94B43">
        <w:rPr>
          <w:rFonts w:ascii="Calibri" w:eastAsia="Times New Roman" w:hAnsi="Calibri" w:cs="Times New Roman"/>
          <w:bCs/>
          <w:sz w:val="24"/>
          <w:szCs w:val="24"/>
        </w:rPr>
        <w:t>s</w:t>
      </w:r>
      <w:r w:rsidRPr="00E04C04">
        <w:rPr>
          <w:rFonts w:ascii="Calibri" w:eastAsia="Times New Roman" w:hAnsi="Calibri" w:cs="Times New Roman"/>
          <w:bCs/>
          <w:sz w:val="24"/>
          <w:szCs w:val="24"/>
        </w:rPr>
        <w:t xml:space="preserve">. L’appréciation globale prend en compte les différentes lignes du tableau. Ce travail s’inscrit dans une perspective d’évaluation globale, </w:t>
      </w:r>
      <w:r w:rsidR="0030698C" w:rsidRPr="00E04C04">
        <w:rPr>
          <w:rFonts w:ascii="Calibri" w:eastAsia="Times New Roman" w:hAnsi="Calibri" w:cs="Times New Roman"/>
          <w:bCs/>
          <w:sz w:val="24"/>
          <w:szCs w:val="24"/>
        </w:rPr>
        <w:t>qui correspond à la manière dont l’enseignement de spécialité s’inscrit dans la perspective du supérieur. L’exercice demandé est exigeant, prépare nos élèves à l’enseigne</w:t>
      </w:r>
      <w:r w:rsidR="00136750" w:rsidRPr="00E04C04">
        <w:rPr>
          <w:rFonts w:ascii="Calibri" w:eastAsia="Times New Roman" w:hAnsi="Calibri" w:cs="Times New Roman"/>
          <w:bCs/>
          <w:sz w:val="24"/>
          <w:szCs w:val="24"/>
        </w:rPr>
        <w:t>ment supérieur ;</w:t>
      </w:r>
      <w:r w:rsidR="0030698C" w:rsidRPr="00E04C04">
        <w:rPr>
          <w:rFonts w:ascii="Calibri" w:eastAsia="Times New Roman" w:hAnsi="Calibri" w:cs="Times New Roman"/>
          <w:bCs/>
          <w:sz w:val="24"/>
          <w:szCs w:val="24"/>
        </w:rPr>
        <w:t xml:space="preserve"> </w:t>
      </w:r>
      <w:r w:rsidR="00136750" w:rsidRPr="00E04C04">
        <w:rPr>
          <w:rFonts w:ascii="Calibri" w:eastAsia="Times New Roman" w:hAnsi="Calibri" w:cs="Times New Roman"/>
          <w:bCs/>
          <w:sz w:val="24"/>
          <w:szCs w:val="24"/>
        </w:rPr>
        <w:t>il s’inscrit dans une montée des exigences constitutive de la réforme du lycée. Il donnera</w:t>
      </w:r>
      <w:r w:rsidR="00F94B43">
        <w:rPr>
          <w:rFonts w:ascii="Calibri" w:eastAsia="Times New Roman" w:hAnsi="Calibri" w:cs="Times New Roman"/>
          <w:bCs/>
          <w:sz w:val="24"/>
          <w:szCs w:val="24"/>
        </w:rPr>
        <w:t xml:space="preserve"> de ce fait</w:t>
      </w:r>
      <w:r w:rsidR="00136750" w:rsidRPr="00E04C04">
        <w:rPr>
          <w:rFonts w:ascii="Calibri" w:eastAsia="Times New Roman" w:hAnsi="Calibri" w:cs="Times New Roman"/>
          <w:bCs/>
          <w:sz w:val="24"/>
          <w:szCs w:val="24"/>
        </w:rPr>
        <w:t xml:space="preserve"> lieu à une maîtrise variable des capacités, qui s’inscrit dans une dynamique et doit être évaluée avec bienveillance.</w:t>
      </w:r>
      <w:r w:rsidR="0030698C" w:rsidRPr="00E04C04">
        <w:rPr>
          <w:rFonts w:ascii="Calibri" w:eastAsia="Times New Roman" w:hAnsi="Calibri" w:cs="Times New Roman"/>
          <w:bCs/>
          <w:sz w:val="24"/>
          <w:szCs w:val="24"/>
        </w:rPr>
        <w:t xml:space="preserve"> </w:t>
      </w:r>
    </w:p>
    <w:p w14:paraId="4CB7E3C6" w14:textId="7C22AEBA" w:rsidR="006F2713" w:rsidRPr="00E04C04" w:rsidRDefault="006F2713" w:rsidP="00F94B43">
      <w:pPr>
        <w:keepNext/>
        <w:keepLines/>
        <w:spacing w:after="200" w:line="276" w:lineRule="auto"/>
        <w:contextualSpacing/>
        <w:rPr>
          <w:rFonts w:ascii="Calibri" w:eastAsia="Times New Roman" w:hAnsi="Calibri" w:cs="Times New Roman"/>
          <w:bCs/>
          <w:sz w:val="24"/>
          <w:szCs w:val="24"/>
        </w:rPr>
      </w:pPr>
      <w:r w:rsidRPr="00E04C04">
        <w:rPr>
          <w:rFonts w:ascii="Calibri" w:eastAsia="Times New Roman" w:hAnsi="Calibri" w:cs="Times New Roman"/>
          <w:bCs/>
          <w:sz w:val="24"/>
          <w:szCs w:val="24"/>
        </w:rPr>
        <w:t>Le niveau satisfaisant correspond à ce qui est légitimement attendu pour un élève de terminale. Le niveau très satisfaisant allant au-delà de nos exigences, il sert</w:t>
      </w:r>
      <w:r w:rsidR="005E4028" w:rsidRPr="00E04C04">
        <w:rPr>
          <w:rFonts w:ascii="Calibri" w:eastAsia="Times New Roman" w:hAnsi="Calibri" w:cs="Times New Roman"/>
          <w:bCs/>
          <w:sz w:val="24"/>
          <w:szCs w:val="24"/>
        </w:rPr>
        <w:t xml:space="preserve"> quand il est présent dans une à plusieurs lignes</w:t>
      </w:r>
      <w:r w:rsidRPr="00E04C04">
        <w:rPr>
          <w:rFonts w:ascii="Calibri" w:eastAsia="Times New Roman" w:hAnsi="Calibri" w:cs="Times New Roman"/>
          <w:bCs/>
          <w:sz w:val="24"/>
          <w:szCs w:val="24"/>
        </w:rPr>
        <w:t xml:space="preserve"> à valoriser une performance dans le cadre de l’évaluation globale.</w:t>
      </w:r>
    </w:p>
    <w:p w14:paraId="34A8B6EC" w14:textId="77777777" w:rsidR="00BB5C94" w:rsidRPr="00E04C04" w:rsidRDefault="00BB5C94" w:rsidP="00C41EBE">
      <w:pPr>
        <w:keepNext/>
        <w:keepLines/>
        <w:spacing w:after="200" w:line="276" w:lineRule="auto"/>
        <w:contextualSpacing/>
        <w:jc w:val="left"/>
        <w:rPr>
          <w:rFonts w:ascii="Calibri" w:eastAsia="Times New Roman" w:hAnsi="Calibri" w:cs="Times New Roman"/>
          <w:bCs/>
          <w:sz w:val="24"/>
          <w:szCs w:val="24"/>
        </w:rPr>
      </w:pPr>
    </w:p>
    <w:p w14:paraId="74943A6A" w14:textId="77777777" w:rsidR="008B6CF5" w:rsidRDefault="008B6CF5">
      <w:pPr>
        <w:rPr>
          <w:rFonts w:ascii="Calibri" w:eastAsia="Times New Roman" w:hAnsi="Calibri" w:cs="Times New Roman"/>
          <w:b/>
          <w:bCs/>
          <w:sz w:val="24"/>
          <w:szCs w:val="24"/>
        </w:rPr>
      </w:pPr>
      <w:r>
        <w:rPr>
          <w:rFonts w:ascii="Calibri" w:eastAsia="Times New Roman" w:hAnsi="Calibri" w:cs="Times New Roman"/>
          <w:b/>
          <w:bCs/>
          <w:sz w:val="24"/>
          <w:szCs w:val="24"/>
        </w:rPr>
        <w:br w:type="page"/>
      </w:r>
    </w:p>
    <w:p w14:paraId="477E52E0" w14:textId="27480987" w:rsidR="00BB5C94" w:rsidRPr="00E04C04" w:rsidRDefault="00BB5C94" w:rsidP="00C41EBE">
      <w:pPr>
        <w:keepNext/>
        <w:keepLines/>
        <w:spacing w:after="200" w:line="276" w:lineRule="auto"/>
        <w:contextualSpacing/>
        <w:jc w:val="left"/>
        <w:rPr>
          <w:rFonts w:ascii="Calibri" w:eastAsia="Times New Roman" w:hAnsi="Calibri" w:cs="Times New Roman"/>
          <w:b/>
          <w:bCs/>
          <w:sz w:val="24"/>
          <w:szCs w:val="24"/>
        </w:rPr>
      </w:pPr>
      <w:r w:rsidRPr="00E04C04">
        <w:rPr>
          <w:rFonts w:ascii="Calibri" w:eastAsia="Times New Roman" w:hAnsi="Calibri" w:cs="Times New Roman"/>
          <w:b/>
          <w:bCs/>
          <w:sz w:val="24"/>
          <w:szCs w:val="24"/>
        </w:rPr>
        <w:lastRenderedPageBreak/>
        <w:t>Proposit</w:t>
      </w:r>
      <w:r w:rsidR="008B6CF5">
        <w:rPr>
          <w:rFonts w:ascii="Calibri" w:eastAsia="Times New Roman" w:hAnsi="Calibri" w:cs="Times New Roman"/>
          <w:b/>
          <w:bCs/>
          <w:sz w:val="24"/>
          <w:szCs w:val="24"/>
        </w:rPr>
        <w:t xml:space="preserve">ion d’échelle </w:t>
      </w:r>
      <w:proofErr w:type="gramStart"/>
      <w:r w:rsidR="008B6CF5">
        <w:rPr>
          <w:rFonts w:ascii="Calibri" w:eastAsia="Times New Roman" w:hAnsi="Calibri" w:cs="Times New Roman"/>
          <w:b/>
          <w:bCs/>
          <w:sz w:val="24"/>
          <w:szCs w:val="24"/>
        </w:rPr>
        <w:t xml:space="preserve">descriptive </w:t>
      </w:r>
      <w:r w:rsidRPr="00E04C04">
        <w:rPr>
          <w:rFonts w:ascii="Calibri" w:eastAsia="Times New Roman" w:hAnsi="Calibri" w:cs="Times New Roman"/>
          <w:b/>
          <w:bCs/>
          <w:sz w:val="24"/>
          <w:szCs w:val="24"/>
        </w:rPr>
        <w:t xml:space="preserve"> pour</w:t>
      </w:r>
      <w:proofErr w:type="gramEnd"/>
      <w:r w:rsidRPr="00E04C04">
        <w:rPr>
          <w:rFonts w:ascii="Calibri" w:eastAsia="Times New Roman" w:hAnsi="Calibri" w:cs="Times New Roman"/>
          <w:b/>
          <w:bCs/>
          <w:sz w:val="24"/>
          <w:szCs w:val="24"/>
        </w:rPr>
        <w:t xml:space="preserve"> la d</w:t>
      </w:r>
      <w:r w:rsidR="008B6CF5">
        <w:rPr>
          <w:rFonts w:ascii="Calibri" w:eastAsia="Times New Roman" w:hAnsi="Calibri" w:cs="Times New Roman"/>
          <w:b/>
          <w:bCs/>
          <w:sz w:val="24"/>
          <w:szCs w:val="24"/>
        </w:rPr>
        <w:t>issertation</w:t>
      </w:r>
    </w:p>
    <w:p w14:paraId="543E3EBB" w14:textId="77777777" w:rsidR="004471DC" w:rsidRPr="00E04C04" w:rsidRDefault="004471DC" w:rsidP="00C41EBE">
      <w:pPr>
        <w:keepNext/>
        <w:keepLines/>
        <w:spacing w:after="200" w:line="276" w:lineRule="auto"/>
        <w:contextualSpacing/>
        <w:jc w:val="left"/>
        <w:rPr>
          <w:rFonts w:ascii="Calibri" w:eastAsia="Times New Roman" w:hAnsi="Calibri" w:cs="Times New Roman"/>
          <w:bCs/>
          <w:sz w:val="24"/>
          <w:szCs w:val="24"/>
        </w:rPr>
      </w:pPr>
    </w:p>
    <w:tbl>
      <w:tblPr>
        <w:tblStyle w:val="Grilledutableau"/>
        <w:tblW w:w="0" w:type="auto"/>
        <w:tblLook w:val="04A0" w:firstRow="1" w:lastRow="0" w:firstColumn="1" w:lastColumn="0" w:noHBand="0" w:noVBand="1"/>
      </w:tblPr>
      <w:tblGrid>
        <w:gridCol w:w="1812"/>
        <w:gridCol w:w="1812"/>
        <w:gridCol w:w="1812"/>
        <w:gridCol w:w="1813"/>
        <w:gridCol w:w="1813"/>
      </w:tblGrid>
      <w:tr w:rsidR="00E04C04" w:rsidRPr="00E04C04" w14:paraId="7BC148C7" w14:textId="77777777" w:rsidTr="00536DCF">
        <w:tc>
          <w:tcPr>
            <w:tcW w:w="1812" w:type="dxa"/>
          </w:tcPr>
          <w:p w14:paraId="22B1B977" w14:textId="77777777" w:rsidR="004471DC" w:rsidRPr="00E04C04" w:rsidRDefault="004471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Capacités évaluées</w:t>
            </w:r>
          </w:p>
        </w:tc>
        <w:tc>
          <w:tcPr>
            <w:tcW w:w="1812" w:type="dxa"/>
          </w:tcPr>
          <w:p w14:paraId="1724CE0B" w14:textId="77777777" w:rsidR="004471DC" w:rsidRPr="00E04C04" w:rsidRDefault="004471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Très insuffisant</w:t>
            </w:r>
          </w:p>
        </w:tc>
        <w:tc>
          <w:tcPr>
            <w:tcW w:w="1812" w:type="dxa"/>
          </w:tcPr>
          <w:p w14:paraId="7A013E3B" w14:textId="77777777" w:rsidR="004471DC" w:rsidRPr="00E04C04" w:rsidRDefault="004471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Insuffisant</w:t>
            </w:r>
          </w:p>
        </w:tc>
        <w:tc>
          <w:tcPr>
            <w:tcW w:w="1813" w:type="dxa"/>
          </w:tcPr>
          <w:p w14:paraId="1CBD4D27" w14:textId="77777777" w:rsidR="004471DC" w:rsidRPr="00E04C04" w:rsidRDefault="004471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Satisfaisant</w:t>
            </w:r>
          </w:p>
        </w:tc>
        <w:tc>
          <w:tcPr>
            <w:tcW w:w="1813" w:type="dxa"/>
          </w:tcPr>
          <w:p w14:paraId="2545A46A" w14:textId="77777777" w:rsidR="004471DC" w:rsidRPr="00E04C04" w:rsidRDefault="004471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Très satisfaisant</w:t>
            </w:r>
            <w:r w:rsidR="00192B93" w:rsidRPr="00E04C04">
              <w:rPr>
                <w:rFonts w:ascii="Calibri" w:eastAsia="Calibri" w:hAnsi="Calibri" w:cs="Times New Roman"/>
              </w:rPr>
              <w:t xml:space="preserve"> (éléments servant également à la valorisation)</w:t>
            </w:r>
          </w:p>
        </w:tc>
      </w:tr>
      <w:tr w:rsidR="00E04C04" w:rsidRPr="00E04C04" w14:paraId="1022690B" w14:textId="77777777" w:rsidTr="00536DCF">
        <w:trPr>
          <w:trHeight w:val="628"/>
        </w:trPr>
        <w:tc>
          <w:tcPr>
            <w:tcW w:w="1812" w:type="dxa"/>
          </w:tcPr>
          <w:p w14:paraId="4111E511" w14:textId="77777777" w:rsidR="00EF0A74" w:rsidRPr="00E04C04" w:rsidRDefault="00EF0A74" w:rsidP="00A363DC">
            <w:pPr>
              <w:keepNext/>
              <w:keepLines/>
              <w:spacing w:line="276" w:lineRule="auto"/>
              <w:ind w:firstLine="0"/>
              <w:jc w:val="left"/>
              <w:rPr>
                <w:rFonts w:ascii="Calibri" w:eastAsia="Calibri" w:hAnsi="Calibri" w:cs="Times New Roman"/>
              </w:rPr>
            </w:pPr>
          </w:p>
          <w:p w14:paraId="668D90DE" w14:textId="77777777" w:rsidR="00EF0A74" w:rsidRPr="00E04C04" w:rsidRDefault="00EF0A74"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Posséder et mobiliser des connaissances</w:t>
            </w:r>
          </w:p>
        </w:tc>
        <w:tc>
          <w:tcPr>
            <w:tcW w:w="1812" w:type="dxa"/>
          </w:tcPr>
          <w:p w14:paraId="5FFB90BA" w14:textId="77777777" w:rsidR="004471DC" w:rsidRPr="00E04C04" w:rsidRDefault="00192B93"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Pas d’exemples, uniquement une suite de propos généraux</w:t>
            </w:r>
            <w:r w:rsidR="004C4EE9" w:rsidRPr="00E04C04">
              <w:rPr>
                <w:rFonts w:ascii="Calibri" w:eastAsia="Calibri" w:hAnsi="Calibri" w:cs="Times New Roman"/>
              </w:rPr>
              <w:t xml:space="preserve"> </w:t>
            </w:r>
            <w:r w:rsidR="00E82786" w:rsidRPr="00E04C04">
              <w:rPr>
                <w:rFonts w:ascii="Calibri" w:eastAsia="Calibri" w:hAnsi="Calibri" w:cs="Times New Roman"/>
              </w:rPr>
              <w:t>s</w:t>
            </w:r>
            <w:r w:rsidR="004C4EE9" w:rsidRPr="00E04C04">
              <w:rPr>
                <w:rFonts w:ascii="Calibri" w:eastAsia="Calibri" w:hAnsi="Calibri" w:cs="Times New Roman"/>
              </w:rPr>
              <w:t>ans</w:t>
            </w:r>
            <w:r w:rsidRPr="00E04C04">
              <w:rPr>
                <w:rFonts w:ascii="Calibri" w:eastAsia="Calibri" w:hAnsi="Calibri" w:cs="Times New Roman"/>
              </w:rPr>
              <w:t xml:space="preserve"> notions pertinentes.</w:t>
            </w:r>
          </w:p>
        </w:tc>
        <w:tc>
          <w:tcPr>
            <w:tcW w:w="1812" w:type="dxa"/>
          </w:tcPr>
          <w:p w14:paraId="50EC27FB" w14:textId="29F60C58" w:rsidR="004471DC" w:rsidRPr="00E04C04" w:rsidRDefault="00192B93"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Peu d’exemples précis, pas de notion, notions non maîtrisées.</w:t>
            </w:r>
          </w:p>
          <w:p w14:paraId="5F4465CE" w14:textId="77777777" w:rsidR="00CE4502" w:rsidRPr="00E04C04" w:rsidRDefault="00CE4502" w:rsidP="00A363DC">
            <w:pPr>
              <w:keepNext/>
              <w:keepLines/>
              <w:spacing w:line="276" w:lineRule="auto"/>
              <w:ind w:firstLine="0"/>
              <w:jc w:val="left"/>
              <w:rPr>
                <w:rFonts w:ascii="Calibri" w:eastAsia="Calibri" w:hAnsi="Calibri" w:cs="Times New Roman"/>
              </w:rPr>
            </w:pPr>
          </w:p>
          <w:p w14:paraId="0EC69E0E" w14:textId="77777777" w:rsidR="004471DC" w:rsidRPr="00E04C04" w:rsidRDefault="004471DC" w:rsidP="00A363DC">
            <w:pPr>
              <w:keepNext/>
              <w:keepLines/>
              <w:spacing w:line="276" w:lineRule="auto"/>
              <w:ind w:firstLine="0"/>
              <w:jc w:val="left"/>
              <w:rPr>
                <w:rFonts w:ascii="Calibri" w:eastAsia="Calibri" w:hAnsi="Calibri" w:cs="Times New Roman"/>
              </w:rPr>
            </w:pPr>
          </w:p>
        </w:tc>
        <w:tc>
          <w:tcPr>
            <w:tcW w:w="1813" w:type="dxa"/>
          </w:tcPr>
          <w:p w14:paraId="74AA38B4" w14:textId="77777777" w:rsidR="00EF0A74" w:rsidRPr="00E04C04" w:rsidRDefault="00EF0A74"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Exemples</w:t>
            </w:r>
            <w:r w:rsidR="00192B93" w:rsidRPr="00E04C04">
              <w:rPr>
                <w:rFonts w:ascii="Calibri" w:eastAsia="Calibri" w:hAnsi="Calibri" w:cs="Times New Roman"/>
              </w:rPr>
              <w:t xml:space="preserve"> en lien avec le sujet nourrissant le propos.</w:t>
            </w:r>
          </w:p>
          <w:p w14:paraId="254BEFDF" w14:textId="77777777" w:rsidR="004471DC" w:rsidRPr="00E04C04" w:rsidRDefault="00192B93"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Présence de notions attendues dans le traitement du sujet</w:t>
            </w:r>
          </w:p>
          <w:p w14:paraId="414E4561" w14:textId="2BFE5975" w:rsidR="00CE4502" w:rsidRPr="00E04C04" w:rsidRDefault="00CE4502"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Articulation des notions et des exemples</w:t>
            </w:r>
          </w:p>
        </w:tc>
        <w:tc>
          <w:tcPr>
            <w:tcW w:w="1813" w:type="dxa"/>
          </w:tcPr>
          <w:p w14:paraId="72C87AF8" w14:textId="77777777" w:rsidR="004471DC" w:rsidRPr="00E04C04" w:rsidRDefault="004471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Organisation équilibrée au regard du temps imparti</w:t>
            </w:r>
          </w:p>
        </w:tc>
      </w:tr>
      <w:tr w:rsidR="00E04C04" w:rsidRPr="00E04C04" w14:paraId="7E7DEE1A" w14:textId="77777777" w:rsidTr="00536DCF">
        <w:tc>
          <w:tcPr>
            <w:tcW w:w="1812" w:type="dxa"/>
          </w:tcPr>
          <w:p w14:paraId="132482AC" w14:textId="77777777" w:rsidR="004471DC" w:rsidRPr="00E04C04" w:rsidRDefault="00EF0A74"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Construire un plan</w:t>
            </w:r>
          </w:p>
        </w:tc>
        <w:tc>
          <w:tcPr>
            <w:tcW w:w="1812" w:type="dxa"/>
          </w:tcPr>
          <w:p w14:paraId="7AB5B262" w14:textId="77777777" w:rsidR="004471DC" w:rsidRPr="00E04C04" w:rsidRDefault="00192B93"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Pas d’organisation en parties</w:t>
            </w:r>
          </w:p>
        </w:tc>
        <w:tc>
          <w:tcPr>
            <w:tcW w:w="1812" w:type="dxa"/>
          </w:tcPr>
          <w:p w14:paraId="278958C2" w14:textId="77777777" w:rsidR="004471DC" w:rsidRPr="00E04C04" w:rsidRDefault="00192B93"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Organisation en parties ne permettant pas une saisie globale du sujet</w:t>
            </w:r>
          </w:p>
        </w:tc>
        <w:tc>
          <w:tcPr>
            <w:tcW w:w="1813" w:type="dxa"/>
          </w:tcPr>
          <w:p w14:paraId="5B1EC764" w14:textId="77777777" w:rsidR="004471DC" w:rsidRPr="00E04C04" w:rsidRDefault="00EF0A74"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Organisation en partie</w:t>
            </w:r>
            <w:r w:rsidR="00192B93" w:rsidRPr="00E04C04">
              <w:rPr>
                <w:rFonts w:ascii="Calibri" w:eastAsia="Calibri" w:hAnsi="Calibri" w:cs="Times New Roman"/>
              </w:rPr>
              <w:t>s</w:t>
            </w:r>
            <w:r w:rsidRPr="00E04C04">
              <w:rPr>
                <w:rFonts w:ascii="Calibri" w:eastAsia="Calibri" w:hAnsi="Calibri" w:cs="Times New Roman"/>
              </w:rPr>
              <w:t xml:space="preserve"> susceptible d’offrir une saisie globale du sujet.</w:t>
            </w:r>
          </w:p>
          <w:p w14:paraId="46D43B04" w14:textId="77777777" w:rsidR="00192B93" w:rsidRPr="00E04C04" w:rsidRDefault="00192B93" w:rsidP="00A363DC">
            <w:pPr>
              <w:keepNext/>
              <w:keepLines/>
              <w:spacing w:line="276" w:lineRule="auto"/>
              <w:ind w:firstLine="0"/>
              <w:jc w:val="left"/>
              <w:rPr>
                <w:rFonts w:ascii="Calibri" w:eastAsia="Calibri" w:hAnsi="Calibri" w:cs="Times New Roman"/>
              </w:rPr>
            </w:pPr>
          </w:p>
          <w:p w14:paraId="56E8F3AD" w14:textId="45138370" w:rsidR="00192B93" w:rsidRPr="00E04C04" w:rsidRDefault="00192B93"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Présence d’une in</w:t>
            </w:r>
            <w:r w:rsidR="00E04C04" w:rsidRPr="00E04C04">
              <w:rPr>
                <w:rFonts w:ascii="Calibri" w:eastAsia="Calibri" w:hAnsi="Calibri" w:cs="Times New Roman"/>
              </w:rPr>
              <w:t>troduction et d’une conclusion </w:t>
            </w:r>
          </w:p>
        </w:tc>
        <w:tc>
          <w:tcPr>
            <w:tcW w:w="1813" w:type="dxa"/>
          </w:tcPr>
          <w:p w14:paraId="41D90AEA" w14:textId="77777777" w:rsidR="00EF0A74" w:rsidRPr="00E04C04" w:rsidRDefault="00EF0A74"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Plan offrant une saisie totale du sujet.</w:t>
            </w:r>
          </w:p>
          <w:p w14:paraId="3E848F65" w14:textId="77777777" w:rsidR="004471DC" w:rsidRPr="00E04C04" w:rsidRDefault="00EF0A74"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Respect général du plan</w:t>
            </w:r>
            <w:r w:rsidR="00192B93" w:rsidRPr="00E04C04">
              <w:rPr>
                <w:rFonts w:ascii="Calibri" w:eastAsia="Calibri" w:hAnsi="Calibri" w:cs="Times New Roman"/>
              </w:rPr>
              <w:t xml:space="preserve"> (cohérence forte des parties)</w:t>
            </w:r>
            <w:r w:rsidRPr="00E04C04">
              <w:rPr>
                <w:rFonts w:ascii="Calibri" w:eastAsia="Calibri" w:hAnsi="Calibri" w:cs="Times New Roman"/>
              </w:rPr>
              <w:t xml:space="preserve"> et phrases de transition.</w:t>
            </w:r>
          </w:p>
        </w:tc>
      </w:tr>
      <w:tr w:rsidR="00E04C04" w:rsidRPr="00E04C04" w14:paraId="27D3BAD3" w14:textId="77777777" w:rsidTr="00536DCF">
        <w:tc>
          <w:tcPr>
            <w:tcW w:w="1812" w:type="dxa"/>
          </w:tcPr>
          <w:p w14:paraId="40246889" w14:textId="015EBA6C" w:rsidR="00EF0A74" w:rsidRPr="00E04C04" w:rsidRDefault="00EF0A74"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Adopter une démarche réflexive</w:t>
            </w:r>
            <w:r w:rsidR="00CE4502" w:rsidRPr="00E04C04">
              <w:rPr>
                <w:rFonts w:ascii="Calibri" w:eastAsia="Calibri" w:hAnsi="Calibri" w:cs="Times New Roman"/>
              </w:rPr>
              <w:t xml:space="preserve"> et argumentée</w:t>
            </w:r>
          </w:p>
        </w:tc>
        <w:tc>
          <w:tcPr>
            <w:tcW w:w="1812" w:type="dxa"/>
          </w:tcPr>
          <w:p w14:paraId="4FCB2ACF" w14:textId="77777777" w:rsidR="00EF0A74" w:rsidRPr="00E04C04" w:rsidRDefault="00192B93"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Pas de réflexion personnelle</w:t>
            </w:r>
          </w:p>
        </w:tc>
        <w:tc>
          <w:tcPr>
            <w:tcW w:w="1812" w:type="dxa"/>
          </w:tcPr>
          <w:p w14:paraId="40361546" w14:textId="77777777" w:rsidR="00EF0A74" w:rsidRPr="00E04C04" w:rsidRDefault="00192B93"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Pas de réflexion personnelle</w:t>
            </w:r>
          </w:p>
        </w:tc>
        <w:tc>
          <w:tcPr>
            <w:tcW w:w="1813" w:type="dxa"/>
          </w:tcPr>
          <w:p w14:paraId="22234F67" w14:textId="77777777" w:rsidR="00EF0A74" w:rsidRPr="00E04C04" w:rsidRDefault="00192B93"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Présence de phrases témoignant d’une réflexion personnelle au-delà de la restitution d’un cours</w:t>
            </w:r>
          </w:p>
          <w:p w14:paraId="75DB029B" w14:textId="6F0EF361" w:rsidR="00CE4502" w:rsidRPr="00E04C04" w:rsidRDefault="00CE4502"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Notions agencées les unes par rapport aux autres.</w:t>
            </w:r>
          </w:p>
        </w:tc>
        <w:tc>
          <w:tcPr>
            <w:tcW w:w="1813" w:type="dxa"/>
          </w:tcPr>
          <w:p w14:paraId="6DFFEEE4" w14:textId="2A227217" w:rsidR="00EF0A74" w:rsidRPr="00E04C04" w:rsidRDefault="00192B93"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Réflexion soutenue.</w:t>
            </w:r>
          </w:p>
          <w:p w14:paraId="067FA052" w14:textId="69361F19" w:rsidR="00CE4502" w:rsidRPr="00E04C04" w:rsidRDefault="00CE4502" w:rsidP="00A363DC">
            <w:pPr>
              <w:keepNext/>
              <w:keepLines/>
              <w:spacing w:line="276" w:lineRule="auto"/>
              <w:ind w:firstLine="0"/>
              <w:jc w:val="left"/>
              <w:rPr>
                <w:rFonts w:ascii="Calibri" w:eastAsia="Calibri" w:hAnsi="Calibri" w:cs="Times New Roman"/>
              </w:rPr>
            </w:pPr>
          </w:p>
          <w:p w14:paraId="5C53F835" w14:textId="025E9DB1" w:rsidR="00CE4502" w:rsidRPr="00E04C04" w:rsidRDefault="00CE4502"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Notions combinées pour former une argumentation d’ensemble.</w:t>
            </w:r>
          </w:p>
          <w:p w14:paraId="0E7C80F7" w14:textId="77777777" w:rsidR="00192B93" w:rsidRPr="00E04C04" w:rsidRDefault="00192B93" w:rsidP="00A363DC">
            <w:pPr>
              <w:keepNext/>
              <w:keepLines/>
              <w:spacing w:line="276" w:lineRule="auto"/>
              <w:ind w:firstLine="0"/>
              <w:jc w:val="left"/>
              <w:rPr>
                <w:rFonts w:ascii="Calibri" w:eastAsia="Calibri" w:hAnsi="Calibri" w:cs="Times New Roman"/>
              </w:rPr>
            </w:pPr>
          </w:p>
          <w:p w14:paraId="596C3901" w14:textId="35674D50" w:rsidR="00192B93" w:rsidRPr="00E04C04" w:rsidRDefault="00192B93" w:rsidP="00A363DC">
            <w:pPr>
              <w:keepNext/>
              <w:keepLines/>
              <w:spacing w:line="276" w:lineRule="auto"/>
              <w:ind w:firstLine="0"/>
              <w:jc w:val="left"/>
              <w:rPr>
                <w:rFonts w:ascii="Calibri" w:eastAsia="Calibri" w:hAnsi="Calibri" w:cs="Times New Roman"/>
                <w:b/>
              </w:rPr>
            </w:pPr>
            <w:r w:rsidRPr="00E04C04">
              <w:rPr>
                <w:rFonts w:ascii="Calibri" w:eastAsia="Calibri" w:hAnsi="Calibri" w:cs="Times New Roman"/>
              </w:rPr>
              <w:t>Problématique explicite</w:t>
            </w:r>
            <w:r w:rsidR="00E04C04" w:rsidRPr="00E04C04">
              <w:rPr>
                <w:rFonts w:ascii="Calibri" w:eastAsia="Calibri" w:hAnsi="Calibri" w:cs="Times New Roman"/>
                <w:b/>
              </w:rPr>
              <w:t> </w:t>
            </w:r>
          </w:p>
        </w:tc>
      </w:tr>
      <w:tr w:rsidR="00E04C04" w:rsidRPr="00E04C04" w14:paraId="7A7462F5" w14:textId="77777777" w:rsidTr="00536DCF">
        <w:tc>
          <w:tcPr>
            <w:tcW w:w="1812" w:type="dxa"/>
          </w:tcPr>
          <w:p w14:paraId="00B2F3DE" w14:textId="23036FAF" w:rsidR="004471DC" w:rsidRPr="00E04C04" w:rsidRDefault="004471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 xml:space="preserve">Maîtriser la langue </w:t>
            </w:r>
            <w:r w:rsidR="00E424AB" w:rsidRPr="00E04C04">
              <w:rPr>
                <w:rFonts w:ascii="Calibri" w:eastAsia="Calibri" w:hAnsi="Calibri" w:cs="Times New Roman"/>
              </w:rPr>
              <w:t xml:space="preserve"> et formaliser sa pensée par écrit</w:t>
            </w:r>
          </w:p>
        </w:tc>
        <w:tc>
          <w:tcPr>
            <w:tcW w:w="1812" w:type="dxa"/>
          </w:tcPr>
          <w:p w14:paraId="6C423C80" w14:textId="77777777" w:rsidR="004471DC" w:rsidRPr="00E04C04" w:rsidRDefault="00192B93"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Copie difficilement compréhensible</w:t>
            </w:r>
          </w:p>
        </w:tc>
        <w:tc>
          <w:tcPr>
            <w:tcW w:w="1812" w:type="dxa"/>
          </w:tcPr>
          <w:p w14:paraId="4417E4D3" w14:textId="77777777" w:rsidR="004471DC" w:rsidRPr="00E04C04" w:rsidRDefault="00192B93"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Copie à la syntaxe hasardeuse</w:t>
            </w:r>
          </w:p>
        </w:tc>
        <w:tc>
          <w:tcPr>
            <w:tcW w:w="1813" w:type="dxa"/>
          </w:tcPr>
          <w:p w14:paraId="63B24E70" w14:textId="77777777" w:rsidR="004471DC" w:rsidRPr="00E04C04" w:rsidRDefault="004471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Langue correcte et assurant l’intelligibilité du propos</w:t>
            </w:r>
          </w:p>
        </w:tc>
        <w:tc>
          <w:tcPr>
            <w:tcW w:w="1813" w:type="dxa"/>
          </w:tcPr>
          <w:p w14:paraId="4A780C15" w14:textId="77777777" w:rsidR="004471DC" w:rsidRPr="00E04C04" w:rsidRDefault="004471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Langue riche et soutenue</w:t>
            </w:r>
          </w:p>
        </w:tc>
      </w:tr>
    </w:tbl>
    <w:p w14:paraId="5E054F55" w14:textId="77777777" w:rsidR="004471DC" w:rsidRPr="00E04C04" w:rsidRDefault="004471DC" w:rsidP="00C41EBE">
      <w:pPr>
        <w:keepNext/>
        <w:keepLines/>
        <w:spacing w:after="200" w:line="276" w:lineRule="auto"/>
        <w:contextualSpacing/>
        <w:jc w:val="left"/>
        <w:rPr>
          <w:rFonts w:ascii="Calibri" w:eastAsia="Times New Roman" w:hAnsi="Calibri" w:cs="Times New Roman"/>
          <w:bCs/>
          <w:sz w:val="24"/>
          <w:szCs w:val="24"/>
        </w:rPr>
      </w:pPr>
    </w:p>
    <w:p w14:paraId="6FA5D8F6" w14:textId="1706C256" w:rsidR="00C41EBE" w:rsidRPr="00E04C04" w:rsidRDefault="00A363DC" w:rsidP="008B6CF5">
      <w:pPr>
        <w:rPr>
          <w:rFonts w:ascii="Calibri" w:eastAsia="Times New Roman" w:hAnsi="Calibri" w:cs="Times New Roman"/>
          <w:b/>
          <w:bCs/>
          <w:sz w:val="24"/>
          <w:szCs w:val="24"/>
        </w:rPr>
      </w:pPr>
      <w:r>
        <w:rPr>
          <w:rFonts w:ascii="Calibri" w:eastAsia="Times New Roman" w:hAnsi="Calibri" w:cs="Times New Roman"/>
          <w:b/>
          <w:bCs/>
          <w:sz w:val="24"/>
          <w:szCs w:val="24"/>
        </w:rPr>
        <w:br w:type="page"/>
      </w:r>
      <w:bookmarkStart w:id="0" w:name="_GoBack"/>
      <w:bookmarkEnd w:id="0"/>
      <w:r w:rsidR="00E14DCA" w:rsidRPr="00E04C04">
        <w:rPr>
          <w:rFonts w:ascii="Calibri" w:eastAsia="Times New Roman" w:hAnsi="Calibri" w:cs="Times New Roman"/>
          <w:b/>
          <w:bCs/>
          <w:sz w:val="24"/>
          <w:szCs w:val="24"/>
        </w:rPr>
        <w:lastRenderedPageBreak/>
        <w:t>Proposition d’échelle descriptive simple pour l’étude critique d’un ou deux documents</w:t>
      </w:r>
    </w:p>
    <w:p w14:paraId="48813859" w14:textId="77777777" w:rsidR="003A7ABE" w:rsidRPr="00E04C04" w:rsidRDefault="003A7ABE"/>
    <w:tbl>
      <w:tblPr>
        <w:tblStyle w:val="Grilledutableau"/>
        <w:tblW w:w="0" w:type="auto"/>
        <w:tblLook w:val="04A0" w:firstRow="1" w:lastRow="0" w:firstColumn="1" w:lastColumn="0" w:noHBand="0" w:noVBand="1"/>
      </w:tblPr>
      <w:tblGrid>
        <w:gridCol w:w="2075"/>
        <w:gridCol w:w="1862"/>
        <w:gridCol w:w="1678"/>
        <w:gridCol w:w="1724"/>
        <w:gridCol w:w="1723"/>
      </w:tblGrid>
      <w:tr w:rsidR="00E04C04" w:rsidRPr="00E04C04" w14:paraId="0579A08D" w14:textId="77777777" w:rsidTr="00A363DC">
        <w:tc>
          <w:tcPr>
            <w:tcW w:w="2075" w:type="dxa"/>
          </w:tcPr>
          <w:p w14:paraId="205B863A" w14:textId="77777777" w:rsidR="00BB5C94" w:rsidRPr="00E04C04" w:rsidRDefault="00BB5C94" w:rsidP="00A363DC">
            <w:pPr>
              <w:ind w:firstLine="0"/>
              <w:jc w:val="left"/>
            </w:pPr>
            <w:r w:rsidRPr="00E04C04">
              <w:t>Capacités évaluées</w:t>
            </w:r>
          </w:p>
        </w:tc>
        <w:tc>
          <w:tcPr>
            <w:tcW w:w="1862" w:type="dxa"/>
          </w:tcPr>
          <w:p w14:paraId="72391504" w14:textId="77777777" w:rsidR="003A7ABE" w:rsidRPr="00E04C04" w:rsidRDefault="00E14DCA" w:rsidP="00A363DC">
            <w:pPr>
              <w:ind w:firstLine="0"/>
              <w:jc w:val="left"/>
            </w:pPr>
            <w:r w:rsidRPr="00E04C04">
              <w:t>Très insuffisant</w:t>
            </w:r>
          </w:p>
        </w:tc>
        <w:tc>
          <w:tcPr>
            <w:tcW w:w="1678" w:type="dxa"/>
          </w:tcPr>
          <w:p w14:paraId="12E83244" w14:textId="77777777" w:rsidR="003A7ABE" w:rsidRPr="00E04C04" w:rsidRDefault="00E14DCA" w:rsidP="00A363DC">
            <w:pPr>
              <w:ind w:firstLine="0"/>
              <w:jc w:val="left"/>
            </w:pPr>
            <w:r w:rsidRPr="00E04C04">
              <w:t>Insuffisant</w:t>
            </w:r>
          </w:p>
        </w:tc>
        <w:tc>
          <w:tcPr>
            <w:tcW w:w="1724" w:type="dxa"/>
          </w:tcPr>
          <w:p w14:paraId="70DD1F43" w14:textId="77777777" w:rsidR="003A7ABE" w:rsidRPr="00E04C04" w:rsidRDefault="00E14DCA" w:rsidP="00A363DC">
            <w:pPr>
              <w:ind w:firstLine="0"/>
              <w:jc w:val="left"/>
            </w:pPr>
            <w:r w:rsidRPr="00E04C04">
              <w:t>Satisfaisant</w:t>
            </w:r>
          </w:p>
        </w:tc>
        <w:tc>
          <w:tcPr>
            <w:tcW w:w="1723" w:type="dxa"/>
          </w:tcPr>
          <w:p w14:paraId="6E052EE5" w14:textId="77777777" w:rsidR="003A7ABE" w:rsidRPr="00E04C04" w:rsidRDefault="00E14DCA" w:rsidP="00A363DC">
            <w:pPr>
              <w:ind w:firstLine="0"/>
              <w:jc w:val="left"/>
            </w:pPr>
            <w:r w:rsidRPr="00E04C04">
              <w:t>Très satisfaisant</w:t>
            </w:r>
          </w:p>
          <w:p w14:paraId="57E4F436" w14:textId="77777777" w:rsidR="000B16D2" w:rsidRPr="00E04C04" w:rsidRDefault="000B16D2" w:rsidP="00A363DC">
            <w:pPr>
              <w:ind w:firstLine="0"/>
              <w:jc w:val="left"/>
            </w:pPr>
            <w:r w:rsidRPr="00E04C04">
              <w:t>(éléments servant également à la valorisation)</w:t>
            </w:r>
          </w:p>
        </w:tc>
      </w:tr>
      <w:tr w:rsidR="00E04C04" w:rsidRPr="00E04C04" w14:paraId="01696205" w14:textId="77777777" w:rsidTr="00A363DC">
        <w:tc>
          <w:tcPr>
            <w:tcW w:w="2075" w:type="dxa"/>
          </w:tcPr>
          <w:p w14:paraId="2610E80A" w14:textId="77777777" w:rsidR="003A7ABE" w:rsidRPr="00E04C04" w:rsidRDefault="005618E0" w:rsidP="00A363DC">
            <w:pPr>
              <w:ind w:firstLine="0"/>
              <w:jc w:val="left"/>
            </w:pPr>
            <w:r w:rsidRPr="00E04C04">
              <w:t>Contextualiser</w:t>
            </w:r>
          </w:p>
        </w:tc>
        <w:tc>
          <w:tcPr>
            <w:tcW w:w="1862" w:type="dxa"/>
          </w:tcPr>
          <w:p w14:paraId="71A27E8D" w14:textId="77777777" w:rsidR="003A7ABE" w:rsidRPr="00E04C04" w:rsidRDefault="005618E0" w:rsidP="00A363DC">
            <w:pPr>
              <w:ind w:firstLine="0"/>
              <w:jc w:val="left"/>
            </w:pPr>
            <w:r w:rsidRPr="00E04C04">
              <w:t>Aucune information</w:t>
            </w:r>
            <w:r w:rsidR="00092056" w:rsidRPr="00E04C04">
              <w:t xml:space="preserve"> exacte</w:t>
            </w:r>
            <w:r w:rsidRPr="00E04C04">
              <w:t xml:space="preserve"> ne figurant pas dans les documents</w:t>
            </w:r>
          </w:p>
        </w:tc>
        <w:tc>
          <w:tcPr>
            <w:tcW w:w="1678" w:type="dxa"/>
          </w:tcPr>
          <w:p w14:paraId="01DDECE6" w14:textId="77777777" w:rsidR="003A7ABE" w:rsidRPr="00E04C04" w:rsidRDefault="00092056" w:rsidP="00A363DC">
            <w:pPr>
              <w:ind w:firstLine="0"/>
              <w:jc w:val="left"/>
            </w:pPr>
            <w:r w:rsidRPr="00E04C04">
              <w:t xml:space="preserve">Connaissance </w:t>
            </w:r>
            <w:r w:rsidR="00217EBF" w:rsidRPr="00E04C04">
              <w:t>approximative du contexte global</w:t>
            </w:r>
          </w:p>
          <w:p w14:paraId="39D5E8D4" w14:textId="77777777" w:rsidR="00217EBF" w:rsidRPr="00E04C04" w:rsidRDefault="00217EBF" w:rsidP="00A363DC">
            <w:pPr>
              <w:ind w:firstLine="0"/>
              <w:jc w:val="left"/>
            </w:pPr>
          </w:p>
          <w:p w14:paraId="5E51EC7A" w14:textId="7DACE307" w:rsidR="00217EBF" w:rsidRPr="00E04C04" w:rsidRDefault="00217EBF" w:rsidP="00A363DC">
            <w:pPr>
              <w:ind w:firstLine="0"/>
              <w:jc w:val="left"/>
            </w:pPr>
            <w:r w:rsidRPr="00E04C04">
              <w:t>Pas d’informations extérieures au</w:t>
            </w:r>
            <w:r w:rsidR="00F94B43">
              <w:t>(x)</w:t>
            </w:r>
            <w:r w:rsidRPr="00E04C04">
              <w:t xml:space="preserve"> document</w:t>
            </w:r>
            <w:r w:rsidR="00F94B43">
              <w:t>(s)</w:t>
            </w:r>
            <w:r w:rsidRPr="00E04C04">
              <w:t xml:space="preserve"> ou des informations inexactes.</w:t>
            </w:r>
          </w:p>
        </w:tc>
        <w:tc>
          <w:tcPr>
            <w:tcW w:w="1724" w:type="dxa"/>
          </w:tcPr>
          <w:p w14:paraId="07E9DE8A" w14:textId="77777777" w:rsidR="00092056" w:rsidRPr="00E04C04" w:rsidRDefault="00092056" w:rsidP="00A363DC">
            <w:pPr>
              <w:ind w:firstLine="0"/>
              <w:jc w:val="left"/>
            </w:pPr>
            <w:r w:rsidRPr="00E04C04">
              <w:t>Connaissance du contexte global dans lequel s’inscrivent les documents</w:t>
            </w:r>
          </w:p>
          <w:p w14:paraId="320AFBEC" w14:textId="01A93D5B" w:rsidR="003A7ABE" w:rsidRPr="00E04C04" w:rsidRDefault="00092056" w:rsidP="00A363DC">
            <w:pPr>
              <w:ind w:firstLine="0"/>
              <w:jc w:val="left"/>
            </w:pPr>
            <w:r w:rsidRPr="00E04C04">
              <w:t>Des informations extérieures au</w:t>
            </w:r>
            <w:r w:rsidR="00F94B43">
              <w:t>(x)</w:t>
            </w:r>
            <w:r w:rsidRPr="00E04C04">
              <w:t xml:space="preserve"> document</w:t>
            </w:r>
            <w:r w:rsidR="00F94B43">
              <w:t>(s)</w:t>
            </w:r>
            <w:r w:rsidRPr="00E04C04">
              <w:t xml:space="preserve"> sont mises en rapport avec le</w:t>
            </w:r>
            <w:r w:rsidR="00F94B43">
              <w:t>(s)</w:t>
            </w:r>
            <w:r w:rsidRPr="00E04C04">
              <w:t xml:space="preserve"> document</w:t>
            </w:r>
            <w:r w:rsidR="00F94B43">
              <w:t>(s)</w:t>
            </w:r>
          </w:p>
        </w:tc>
        <w:tc>
          <w:tcPr>
            <w:tcW w:w="1723" w:type="dxa"/>
          </w:tcPr>
          <w:p w14:paraId="6A6F5184" w14:textId="77777777" w:rsidR="00217EBF" w:rsidRPr="00E04C04" w:rsidRDefault="00217EBF" w:rsidP="00A363DC">
            <w:pPr>
              <w:ind w:firstLine="0"/>
              <w:jc w:val="left"/>
            </w:pPr>
            <w:r w:rsidRPr="00E04C04">
              <w:t>Connaissance du contexte global mobilisée pour l’analyse des documents.</w:t>
            </w:r>
          </w:p>
          <w:p w14:paraId="57CA08A8" w14:textId="25AC2891" w:rsidR="00217EBF" w:rsidRPr="00E04C04" w:rsidRDefault="00217EBF" w:rsidP="00A363DC">
            <w:pPr>
              <w:ind w:firstLine="0"/>
              <w:jc w:val="left"/>
            </w:pPr>
            <w:r w:rsidRPr="00E04C04">
              <w:t>Mise en rapport soutenue des informations extérieures et des informations du</w:t>
            </w:r>
            <w:r w:rsidR="00F94B43">
              <w:t xml:space="preserve"> ou des</w:t>
            </w:r>
            <w:r w:rsidRPr="00E04C04">
              <w:t xml:space="preserve"> document</w:t>
            </w:r>
            <w:r w:rsidR="00F94B43">
              <w:t>s</w:t>
            </w:r>
            <w:r w:rsidRPr="00E04C04">
              <w:t>.</w:t>
            </w:r>
          </w:p>
          <w:p w14:paraId="4B972B6A" w14:textId="1B94E2A6" w:rsidR="005E4028" w:rsidRPr="00E04C04" w:rsidRDefault="005E4028" w:rsidP="00A363DC">
            <w:pPr>
              <w:ind w:firstLine="0"/>
              <w:jc w:val="left"/>
            </w:pPr>
            <w:r w:rsidRPr="00E04C04">
              <w:t xml:space="preserve">Saisie globale de l’apport du </w:t>
            </w:r>
            <w:r w:rsidR="00F94B43">
              <w:t xml:space="preserve">ou des </w:t>
            </w:r>
            <w:r w:rsidRPr="00E04C04">
              <w:t>document</w:t>
            </w:r>
            <w:r w:rsidR="00F94B43">
              <w:t>s</w:t>
            </w:r>
            <w:r w:rsidRPr="00E04C04">
              <w:t xml:space="preserve"> à la compréhension de son</w:t>
            </w:r>
            <w:r w:rsidR="00F94B43">
              <w:t>/leur</w:t>
            </w:r>
            <w:r w:rsidRPr="00E04C04">
              <w:t xml:space="preserve"> contexte.</w:t>
            </w:r>
          </w:p>
        </w:tc>
      </w:tr>
      <w:tr w:rsidR="00E04C04" w:rsidRPr="00E04C04" w14:paraId="44FD3AF7" w14:textId="77777777" w:rsidTr="00A363DC">
        <w:tc>
          <w:tcPr>
            <w:tcW w:w="2075" w:type="dxa"/>
          </w:tcPr>
          <w:p w14:paraId="42E20B7E" w14:textId="77777777" w:rsidR="005618E0" w:rsidRPr="00E04C04" w:rsidRDefault="003A7ABE" w:rsidP="00A363DC">
            <w:pPr>
              <w:ind w:firstLine="0"/>
              <w:jc w:val="left"/>
            </w:pPr>
            <w:r w:rsidRPr="00E04C04">
              <w:t>C</w:t>
            </w:r>
            <w:r w:rsidR="005618E0" w:rsidRPr="00E04C04">
              <w:t>omprendre</w:t>
            </w:r>
          </w:p>
        </w:tc>
        <w:tc>
          <w:tcPr>
            <w:tcW w:w="1862" w:type="dxa"/>
          </w:tcPr>
          <w:p w14:paraId="74DFCB05" w14:textId="77777777" w:rsidR="0019637F" w:rsidRPr="00E04C04" w:rsidRDefault="0019637F" w:rsidP="00A363DC">
            <w:pPr>
              <w:ind w:firstLine="0"/>
              <w:jc w:val="left"/>
            </w:pPr>
            <w:r w:rsidRPr="00E04C04">
              <w:t>Incompréhension de la consigne</w:t>
            </w:r>
          </w:p>
          <w:p w14:paraId="018F5DBC" w14:textId="77777777" w:rsidR="003A7ABE" w:rsidRPr="00E04C04" w:rsidRDefault="005618E0" w:rsidP="00A363DC">
            <w:pPr>
              <w:ind w:firstLine="0"/>
              <w:jc w:val="left"/>
            </w:pPr>
            <w:r w:rsidRPr="00E04C04">
              <w:t>Contresens généralisés</w:t>
            </w:r>
          </w:p>
          <w:p w14:paraId="487C79D9" w14:textId="14AD1655" w:rsidR="005E4028" w:rsidRPr="00E04C04" w:rsidRDefault="005E4028" w:rsidP="00A363DC">
            <w:pPr>
              <w:ind w:firstLine="0"/>
              <w:jc w:val="left"/>
            </w:pPr>
            <w:r w:rsidRPr="00E04C04">
              <w:t>Incompréhension du ou des documents.</w:t>
            </w:r>
          </w:p>
        </w:tc>
        <w:tc>
          <w:tcPr>
            <w:tcW w:w="1678" w:type="dxa"/>
          </w:tcPr>
          <w:p w14:paraId="6A5B5D8F" w14:textId="77777777" w:rsidR="0019637F" w:rsidRPr="00E04C04" w:rsidRDefault="0019637F" w:rsidP="00A363DC">
            <w:pPr>
              <w:ind w:firstLine="0"/>
              <w:jc w:val="left"/>
            </w:pPr>
            <w:r w:rsidRPr="00E04C04">
              <w:t>Compréhension partielle de la consigne</w:t>
            </w:r>
          </w:p>
          <w:p w14:paraId="3A53C4DA" w14:textId="77777777" w:rsidR="005E4028" w:rsidRPr="00E04C04" w:rsidRDefault="005E4028" w:rsidP="00A363DC">
            <w:pPr>
              <w:ind w:firstLine="0"/>
              <w:jc w:val="left"/>
            </w:pPr>
            <w:r w:rsidRPr="00E04C04">
              <w:t>Présence de contresens</w:t>
            </w:r>
          </w:p>
          <w:p w14:paraId="1A58B0C2" w14:textId="15994012" w:rsidR="005E4028" w:rsidRPr="00E04C04" w:rsidRDefault="005E4028" w:rsidP="00A363DC">
            <w:pPr>
              <w:ind w:firstLine="0"/>
              <w:jc w:val="left"/>
            </w:pPr>
            <w:r w:rsidRPr="00E04C04">
              <w:t>Compréhension partielle du ou des documents</w:t>
            </w:r>
          </w:p>
          <w:p w14:paraId="4E212E16" w14:textId="3AB3AF4B" w:rsidR="005E4028" w:rsidRPr="00E04C04" w:rsidRDefault="005E4028" w:rsidP="00A363DC">
            <w:pPr>
              <w:ind w:firstLine="0"/>
              <w:jc w:val="left"/>
            </w:pPr>
          </w:p>
        </w:tc>
        <w:tc>
          <w:tcPr>
            <w:tcW w:w="1724" w:type="dxa"/>
          </w:tcPr>
          <w:p w14:paraId="69F1D47C" w14:textId="77777777" w:rsidR="0019637F" w:rsidRPr="00E04C04" w:rsidRDefault="0019637F" w:rsidP="00A363DC">
            <w:pPr>
              <w:ind w:firstLine="0"/>
              <w:jc w:val="left"/>
            </w:pPr>
            <w:r w:rsidRPr="00E04C04">
              <w:t>Compréhension correcte de la consigne</w:t>
            </w:r>
          </w:p>
          <w:p w14:paraId="7D7198B9" w14:textId="77777777" w:rsidR="003A7ABE" w:rsidRPr="00E04C04" w:rsidRDefault="005618E0" w:rsidP="00A363DC">
            <w:pPr>
              <w:ind w:firstLine="0"/>
              <w:jc w:val="left"/>
            </w:pPr>
            <w:r w:rsidRPr="00E04C04">
              <w:t>Compréhension correcte des principales informations livrées par le ou les documents</w:t>
            </w:r>
          </w:p>
        </w:tc>
        <w:tc>
          <w:tcPr>
            <w:tcW w:w="1723" w:type="dxa"/>
          </w:tcPr>
          <w:p w14:paraId="09FCDED5" w14:textId="5D3285CF" w:rsidR="003A7ABE" w:rsidRPr="00E04C04" w:rsidRDefault="005618E0" w:rsidP="00A363DC">
            <w:pPr>
              <w:ind w:firstLine="0"/>
              <w:jc w:val="left"/>
            </w:pPr>
            <w:r w:rsidRPr="00E04C04">
              <w:t>Compréhension fine</w:t>
            </w:r>
            <w:r w:rsidR="00F94B43">
              <w:t xml:space="preserve"> du ou</w:t>
            </w:r>
            <w:r w:rsidRPr="00E04C04">
              <w:t xml:space="preserve"> des documents, dégagement d’informations nécessitant une lecture soutenue</w:t>
            </w:r>
          </w:p>
        </w:tc>
      </w:tr>
      <w:tr w:rsidR="00E04C04" w:rsidRPr="00E04C04" w14:paraId="03949D66" w14:textId="77777777" w:rsidTr="00A363DC">
        <w:tc>
          <w:tcPr>
            <w:tcW w:w="2075" w:type="dxa"/>
          </w:tcPr>
          <w:p w14:paraId="41CBE84D" w14:textId="77777777" w:rsidR="005618E0" w:rsidRPr="00E04C04" w:rsidRDefault="005618E0" w:rsidP="00A363DC">
            <w:pPr>
              <w:ind w:firstLine="0"/>
              <w:jc w:val="left"/>
            </w:pPr>
            <w:r w:rsidRPr="00E04C04">
              <w:t>Confronter</w:t>
            </w:r>
            <w:r w:rsidR="00217EBF" w:rsidRPr="00E04C04">
              <w:t xml:space="preserve"> (cas de deux documents)</w:t>
            </w:r>
          </w:p>
        </w:tc>
        <w:tc>
          <w:tcPr>
            <w:tcW w:w="1862" w:type="dxa"/>
          </w:tcPr>
          <w:p w14:paraId="469BB241" w14:textId="77777777" w:rsidR="005618E0" w:rsidRPr="00E04C04" w:rsidRDefault="00217EBF" w:rsidP="00A363DC">
            <w:pPr>
              <w:ind w:firstLine="0"/>
              <w:jc w:val="left"/>
            </w:pPr>
            <w:r w:rsidRPr="00E04C04">
              <w:t>Non exploitation de l’un des deux documents</w:t>
            </w:r>
          </w:p>
        </w:tc>
        <w:tc>
          <w:tcPr>
            <w:tcW w:w="1678" w:type="dxa"/>
          </w:tcPr>
          <w:p w14:paraId="5E12511C" w14:textId="77777777" w:rsidR="005618E0" w:rsidRPr="00E04C04" w:rsidRDefault="00217EBF" w:rsidP="00A363DC">
            <w:pPr>
              <w:ind w:firstLine="0"/>
              <w:jc w:val="left"/>
            </w:pPr>
            <w:r w:rsidRPr="00E04C04">
              <w:t>Pas de confrontation</w:t>
            </w:r>
          </w:p>
        </w:tc>
        <w:tc>
          <w:tcPr>
            <w:tcW w:w="1724" w:type="dxa"/>
          </w:tcPr>
          <w:p w14:paraId="7FBE95C8" w14:textId="77777777" w:rsidR="005618E0" w:rsidRPr="00E04C04" w:rsidRDefault="004C4EE9" w:rsidP="00A363DC">
            <w:pPr>
              <w:ind w:firstLine="0"/>
              <w:jc w:val="left"/>
            </w:pPr>
            <w:r w:rsidRPr="00E04C04">
              <w:t>Mise en rapport des documents pour dégager une évolution, confronter des points de vue…</w:t>
            </w:r>
          </w:p>
        </w:tc>
        <w:tc>
          <w:tcPr>
            <w:tcW w:w="1723" w:type="dxa"/>
          </w:tcPr>
          <w:p w14:paraId="4D85081A" w14:textId="77777777" w:rsidR="005618E0" w:rsidRPr="00E04C04" w:rsidRDefault="00217EBF" w:rsidP="00A363DC">
            <w:pPr>
              <w:ind w:firstLine="0"/>
              <w:jc w:val="left"/>
            </w:pPr>
            <w:r w:rsidRPr="00E04C04">
              <w:t>La  confrontation des documents intègre et nourrit l’approche critique</w:t>
            </w:r>
          </w:p>
        </w:tc>
      </w:tr>
      <w:tr w:rsidR="00E04C04" w:rsidRPr="00E04C04" w14:paraId="538E5700" w14:textId="77777777" w:rsidTr="00A363DC">
        <w:tc>
          <w:tcPr>
            <w:tcW w:w="2075" w:type="dxa"/>
          </w:tcPr>
          <w:p w14:paraId="7766FE42" w14:textId="77777777" w:rsidR="003A7ABE" w:rsidRPr="00E04C04" w:rsidRDefault="005618E0" w:rsidP="00A363DC">
            <w:pPr>
              <w:ind w:firstLine="0"/>
              <w:jc w:val="left"/>
            </w:pPr>
            <w:r w:rsidRPr="00E04C04">
              <w:t xml:space="preserve">Avoir une approche critique du document </w:t>
            </w:r>
          </w:p>
        </w:tc>
        <w:tc>
          <w:tcPr>
            <w:tcW w:w="1862" w:type="dxa"/>
          </w:tcPr>
          <w:p w14:paraId="18C5B966" w14:textId="77777777" w:rsidR="003A7ABE" w:rsidRPr="00E04C04" w:rsidRDefault="0019637F" w:rsidP="00A363DC">
            <w:pPr>
              <w:ind w:firstLine="0"/>
              <w:jc w:val="left"/>
            </w:pPr>
            <w:r w:rsidRPr="00E04C04">
              <w:t>Pas de mention de la source</w:t>
            </w:r>
          </w:p>
          <w:p w14:paraId="4535309F" w14:textId="6C5E035D" w:rsidR="005E4028" w:rsidRPr="00E04C04" w:rsidRDefault="005E4028" w:rsidP="00A363DC">
            <w:pPr>
              <w:ind w:firstLine="0"/>
              <w:jc w:val="left"/>
            </w:pPr>
            <w:r w:rsidRPr="00E04C04">
              <w:t>Non prise en compte du ou des documents</w:t>
            </w:r>
          </w:p>
        </w:tc>
        <w:tc>
          <w:tcPr>
            <w:tcW w:w="1678" w:type="dxa"/>
          </w:tcPr>
          <w:p w14:paraId="24972D56" w14:textId="633C02D4" w:rsidR="005E4028" w:rsidRPr="00E04C04" w:rsidRDefault="0019637F" w:rsidP="00A363DC">
            <w:pPr>
              <w:ind w:firstLine="0"/>
              <w:jc w:val="left"/>
            </w:pPr>
            <w:r w:rsidRPr="00E04C04">
              <w:t>Simple mention de la source en recopiant la référence</w:t>
            </w:r>
          </w:p>
          <w:p w14:paraId="104559C2" w14:textId="6F5E312E" w:rsidR="003A7ABE" w:rsidRPr="00E04C04" w:rsidRDefault="005E4028" w:rsidP="00A363DC">
            <w:pPr>
              <w:ind w:firstLine="0"/>
              <w:jc w:val="left"/>
            </w:pPr>
            <w:r w:rsidRPr="00E04C04">
              <w:t>Prise en compte du ou des documents.</w:t>
            </w:r>
          </w:p>
        </w:tc>
        <w:tc>
          <w:tcPr>
            <w:tcW w:w="1724" w:type="dxa"/>
          </w:tcPr>
          <w:p w14:paraId="3291AEAF" w14:textId="77777777" w:rsidR="004C4EE9" w:rsidRDefault="00217EBF" w:rsidP="00A363DC">
            <w:pPr>
              <w:ind w:firstLine="0"/>
              <w:jc w:val="left"/>
            </w:pPr>
            <w:r w:rsidRPr="00E04C04">
              <w:t>Source</w:t>
            </w:r>
            <w:r w:rsidR="0019637F" w:rsidRPr="00E04C04">
              <w:t xml:space="preserve"> et nature</w:t>
            </w:r>
            <w:r w:rsidRPr="00E04C04">
              <w:t xml:space="preserve"> du document </w:t>
            </w:r>
            <w:r w:rsidR="00E04C04" w:rsidRPr="00E04C04">
              <w:t>prises en compte dans l’analyse</w:t>
            </w:r>
            <w:r w:rsidR="005E4028" w:rsidRPr="00E04C04">
              <w:t xml:space="preserve"> </w:t>
            </w:r>
          </w:p>
          <w:p w14:paraId="2EFE59D4" w14:textId="55EE6346" w:rsidR="00F94B43" w:rsidRPr="00E04C04" w:rsidRDefault="00F94B43" w:rsidP="00A363DC">
            <w:pPr>
              <w:ind w:firstLine="0"/>
              <w:jc w:val="left"/>
            </w:pPr>
            <w:r>
              <w:lastRenderedPageBreak/>
              <w:t>Intérêt et limites du document explicitées</w:t>
            </w:r>
          </w:p>
        </w:tc>
        <w:tc>
          <w:tcPr>
            <w:tcW w:w="1723" w:type="dxa"/>
          </w:tcPr>
          <w:p w14:paraId="6EC8EA30" w14:textId="4E3FA801" w:rsidR="003A7ABE" w:rsidRPr="00E04C04" w:rsidRDefault="004C4EE9" w:rsidP="00A363DC">
            <w:pPr>
              <w:ind w:firstLine="0"/>
              <w:jc w:val="left"/>
            </w:pPr>
            <w:r w:rsidRPr="00E04C04">
              <w:lastRenderedPageBreak/>
              <w:t>La source</w:t>
            </w:r>
            <w:r w:rsidR="0019637F" w:rsidRPr="00E04C04">
              <w:t xml:space="preserve"> et la nature</w:t>
            </w:r>
            <w:r w:rsidRPr="00E04C04">
              <w:t xml:space="preserve"> du document nourri</w:t>
            </w:r>
            <w:r w:rsidR="005E4028" w:rsidRPr="00E04C04">
              <w:t>ssen</w:t>
            </w:r>
            <w:r w:rsidRPr="00E04C04">
              <w:t xml:space="preserve">t </w:t>
            </w:r>
            <w:r w:rsidR="00F94B43">
              <w:t xml:space="preserve">explicitement </w:t>
            </w:r>
            <w:r w:rsidRPr="00E04C04">
              <w:t>l’approche critique</w:t>
            </w:r>
          </w:p>
          <w:p w14:paraId="2CCD1AEA" w14:textId="77777777" w:rsidR="004C4EE9" w:rsidRPr="00E04C04" w:rsidRDefault="004C4EE9" w:rsidP="00A363DC">
            <w:pPr>
              <w:ind w:firstLine="0"/>
              <w:jc w:val="left"/>
            </w:pPr>
          </w:p>
        </w:tc>
      </w:tr>
      <w:tr w:rsidR="00E04C04" w:rsidRPr="00E04C04" w14:paraId="789C7259" w14:textId="77777777" w:rsidTr="00A363DC">
        <w:tc>
          <w:tcPr>
            <w:tcW w:w="2075" w:type="dxa"/>
          </w:tcPr>
          <w:p w14:paraId="16AC8C98" w14:textId="77777777" w:rsidR="004C4EE9" w:rsidRPr="00E04C04" w:rsidRDefault="004C4EE9" w:rsidP="00A363DC">
            <w:pPr>
              <w:ind w:firstLine="0"/>
              <w:jc w:val="left"/>
            </w:pPr>
            <w:r w:rsidRPr="00E04C04">
              <w:t>Employer les notions et exploiter les outils spécifiques aux disciplines</w:t>
            </w:r>
          </w:p>
        </w:tc>
        <w:tc>
          <w:tcPr>
            <w:tcW w:w="1862" w:type="dxa"/>
          </w:tcPr>
          <w:p w14:paraId="749A64C7" w14:textId="77777777" w:rsidR="004C4EE9" w:rsidRPr="00E04C04" w:rsidRDefault="004C4EE9"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Pas de notions ou notions non pertinentes</w:t>
            </w:r>
          </w:p>
        </w:tc>
        <w:tc>
          <w:tcPr>
            <w:tcW w:w="1678" w:type="dxa"/>
          </w:tcPr>
          <w:p w14:paraId="62192405" w14:textId="77777777" w:rsidR="004C4EE9" w:rsidRPr="00E04C04" w:rsidRDefault="004C4EE9"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Maîtrise inégale des notions utilisées</w:t>
            </w:r>
          </w:p>
          <w:p w14:paraId="7987CC39" w14:textId="77777777" w:rsidR="004C4EE9" w:rsidRPr="00E04C04" w:rsidRDefault="004C4EE9" w:rsidP="00A363DC">
            <w:pPr>
              <w:keepNext/>
              <w:keepLines/>
              <w:spacing w:line="276" w:lineRule="auto"/>
              <w:ind w:firstLine="0"/>
              <w:jc w:val="left"/>
              <w:rPr>
                <w:rFonts w:ascii="Calibri" w:eastAsia="Calibri" w:hAnsi="Calibri" w:cs="Times New Roman"/>
              </w:rPr>
            </w:pPr>
          </w:p>
        </w:tc>
        <w:tc>
          <w:tcPr>
            <w:tcW w:w="1724" w:type="dxa"/>
          </w:tcPr>
          <w:p w14:paraId="69B2A2F0" w14:textId="77777777" w:rsidR="004C4EE9" w:rsidRPr="00E04C04" w:rsidRDefault="004C4EE9"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Présence de notions attendues dans l’analyse des documents</w:t>
            </w:r>
          </w:p>
        </w:tc>
        <w:tc>
          <w:tcPr>
            <w:tcW w:w="1723" w:type="dxa"/>
          </w:tcPr>
          <w:p w14:paraId="0521B153" w14:textId="77777777" w:rsidR="004C4EE9" w:rsidRPr="00E04C04" w:rsidRDefault="004C4EE9"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Organisation équilibrée au regard du temps imparti</w:t>
            </w:r>
          </w:p>
        </w:tc>
      </w:tr>
      <w:tr w:rsidR="00E04C04" w:rsidRPr="00E04C04" w14:paraId="73BFF2E3" w14:textId="77777777" w:rsidTr="00A363DC">
        <w:tc>
          <w:tcPr>
            <w:tcW w:w="2075" w:type="dxa"/>
          </w:tcPr>
          <w:p w14:paraId="24DBBF30" w14:textId="14FEF16C" w:rsidR="003A7ABE" w:rsidRPr="00E04C04" w:rsidRDefault="00A363DC" w:rsidP="00A363DC">
            <w:pPr>
              <w:jc w:val="left"/>
            </w:pPr>
            <w:r>
              <w:t>Construire une argumentation historique ou géographique</w:t>
            </w:r>
          </w:p>
        </w:tc>
        <w:tc>
          <w:tcPr>
            <w:tcW w:w="1862" w:type="dxa"/>
          </w:tcPr>
          <w:p w14:paraId="1D425BD9" w14:textId="77777777" w:rsidR="003A7ABE" w:rsidRPr="00E04C04" w:rsidRDefault="0019637F" w:rsidP="00A363DC">
            <w:pPr>
              <w:ind w:firstLine="0"/>
              <w:jc w:val="left"/>
            </w:pPr>
            <w:r w:rsidRPr="00E04C04">
              <w:t>Pas de construction</w:t>
            </w:r>
          </w:p>
        </w:tc>
        <w:tc>
          <w:tcPr>
            <w:tcW w:w="1678" w:type="dxa"/>
          </w:tcPr>
          <w:p w14:paraId="15CA4B48" w14:textId="77777777" w:rsidR="003A7ABE" w:rsidRPr="00E04C04" w:rsidRDefault="0019637F" w:rsidP="00A363DC">
            <w:pPr>
              <w:ind w:firstLine="0"/>
              <w:jc w:val="left"/>
            </w:pPr>
            <w:r w:rsidRPr="00E04C04">
              <w:t>Construction partielle</w:t>
            </w:r>
          </w:p>
        </w:tc>
        <w:tc>
          <w:tcPr>
            <w:tcW w:w="1724" w:type="dxa"/>
          </w:tcPr>
          <w:p w14:paraId="0CB6CC85" w14:textId="7BF68851" w:rsidR="003A7ABE" w:rsidRPr="00E04C04" w:rsidRDefault="0019637F" w:rsidP="00A363DC">
            <w:pPr>
              <w:ind w:firstLine="0"/>
              <w:jc w:val="left"/>
            </w:pPr>
            <w:r w:rsidRPr="00E04C04">
              <w:t>Paragraphes ayant une cohérence et témoig</w:t>
            </w:r>
            <w:r w:rsidR="00F652FD" w:rsidRPr="00E04C04">
              <w:t>nant d’une démarche méthodique </w:t>
            </w:r>
          </w:p>
        </w:tc>
        <w:tc>
          <w:tcPr>
            <w:tcW w:w="1723" w:type="dxa"/>
          </w:tcPr>
          <w:p w14:paraId="5BD0C91B" w14:textId="7EFB4AFA" w:rsidR="003A7ABE" w:rsidRPr="00E04C04" w:rsidRDefault="0019637F" w:rsidP="00A363DC">
            <w:pPr>
              <w:ind w:firstLine="0"/>
              <w:jc w:val="left"/>
            </w:pPr>
            <w:r w:rsidRPr="00E04C04">
              <w:t>Construction a</w:t>
            </w:r>
            <w:r w:rsidR="00F652FD" w:rsidRPr="00E04C04">
              <w:t>idant à répondre à la consigne </w:t>
            </w:r>
          </w:p>
        </w:tc>
      </w:tr>
      <w:tr w:rsidR="00A363DC" w:rsidRPr="00E04C04" w14:paraId="72F0CE7A" w14:textId="77777777" w:rsidTr="00A363DC">
        <w:tc>
          <w:tcPr>
            <w:tcW w:w="2075" w:type="dxa"/>
          </w:tcPr>
          <w:p w14:paraId="4471901E" w14:textId="77777777" w:rsidR="00A363DC" w:rsidRPr="00E04C04" w:rsidRDefault="00A363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Maîtriser la langue  et formaliser sa pensée par écrit</w:t>
            </w:r>
          </w:p>
        </w:tc>
        <w:tc>
          <w:tcPr>
            <w:tcW w:w="1862" w:type="dxa"/>
          </w:tcPr>
          <w:p w14:paraId="53B2A2BE" w14:textId="77777777" w:rsidR="00A363DC" w:rsidRPr="00E04C04" w:rsidRDefault="00A363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Copie difficilement compréhensible</w:t>
            </w:r>
          </w:p>
        </w:tc>
        <w:tc>
          <w:tcPr>
            <w:tcW w:w="1678" w:type="dxa"/>
          </w:tcPr>
          <w:p w14:paraId="071A36AF" w14:textId="77777777" w:rsidR="00A363DC" w:rsidRPr="00E04C04" w:rsidRDefault="00A363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Copie à la syntaxe hasardeuse</w:t>
            </w:r>
          </w:p>
        </w:tc>
        <w:tc>
          <w:tcPr>
            <w:tcW w:w="1724" w:type="dxa"/>
          </w:tcPr>
          <w:p w14:paraId="13B07B05" w14:textId="77777777" w:rsidR="00A363DC" w:rsidRPr="00E04C04" w:rsidRDefault="00A363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Langue correcte et assurant l’intelligibilité du propos</w:t>
            </w:r>
          </w:p>
        </w:tc>
        <w:tc>
          <w:tcPr>
            <w:tcW w:w="1723" w:type="dxa"/>
          </w:tcPr>
          <w:p w14:paraId="746C1F11" w14:textId="77777777" w:rsidR="00A363DC" w:rsidRPr="00E04C04" w:rsidRDefault="00A363DC" w:rsidP="00A363DC">
            <w:pPr>
              <w:keepNext/>
              <w:keepLines/>
              <w:spacing w:line="276" w:lineRule="auto"/>
              <w:ind w:firstLine="0"/>
              <w:jc w:val="left"/>
              <w:rPr>
                <w:rFonts w:ascii="Calibri" w:eastAsia="Calibri" w:hAnsi="Calibri" w:cs="Times New Roman"/>
              </w:rPr>
            </w:pPr>
            <w:r w:rsidRPr="00E04C04">
              <w:rPr>
                <w:rFonts w:ascii="Calibri" w:eastAsia="Calibri" w:hAnsi="Calibri" w:cs="Times New Roman"/>
              </w:rPr>
              <w:t>Langue riche et soutenue</w:t>
            </w:r>
          </w:p>
        </w:tc>
      </w:tr>
    </w:tbl>
    <w:p w14:paraId="25D5E5C1" w14:textId="080D4549" w:rsidR="003A7ABE" w:rsidRDefault="003A7ABE"/>
    <w:p w14:paraId="0027A44A" w14:textId="0BD66927" w:rsidR="00A363DC" w:rsidRDefault="00A363DC"/>
    <w:p w14:paraId="3B8CAE79" w14:textId="555D7ADA" w:rsidR="00A363DC" w:rsidRPr="00E04C04" w:rsidRDefault="00A363DC" w:rsidP="00A363DC">
      <w:pPr>
        <w:jc w:val="right"/>
      </w:pPr>
      <w:r>
        <w:t>Groupe histoire-géographie de l’IGESR, février 2022.</w:t>
      </w:r>
    </w:p>
    <w:sectPr w:rsidR="00A363DC" w:rsidRPr="00E0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0327"/>
    <w:multiLevelType w:val="hybridMultilevel"/>
    <w:tmpl w:val="2674A7A8"/>
    <w:lvl w:ilvl="0" w:tplc="64220310">
      <w:start w:val="1"/>
      <w:numFmt w:val="decimal"/>
      <w:lvlText w:val="%1."/>
      <w:lvlJc w:val="left"/>
      <w:pPr>
        <w:ind w:left="720" w:hanging="360"/>
      </w:pPr>
    </w:lvl>
    <w:lvl w:ilvl="1" w:tplc="C0F60E10">
      <w:start w:val="1"/>
      <w:numFmt w:val="lowerLetter"/>
      <w:lvlText w:val="%2."/>
      <w:lvlJc w:val="left"/>
      <w:pPr>
        <w:ind w:left="1440" w:hanging="360"/>
      </w:pPr>
    </w:lvl>
    <w:lvl w:ilvl="2" w:tplc="C1A69084">
      <w:start w:val="1"/>
      <w:numFmt w:val="lowerRoman"/>
      <w:lvlText w:val="%3."/>
      <w:lvlJc w:val="right"/>
      <w:pPr>
        <w:ind w:left="2160" w:hanging="180"/>
      </w:pPr>
    </w:lvl>
    <w:lvl w:ilvl="3" w:tplc="AD145FEA">
      <w:start w:val="1"/>
      <w:numFmt w:val="decimal"/>
      <w:lvlText w:val="%4."/>
      <w:lvlJc w:val="left"/>
      <w:pPr>
        <w:ind w:left="2880" w:hanging="360"/>
      </w:pPr>
    </w:lvl>
    <w:lvl w:ilvl="4" w:tplc="20361310">
      <w:start w:val="1"/>
      <w:numFmt w:val="lowerLetter"/>
      <w:lvlText w:val="%5."/>
      <w:lvlJc w:val="left"/>
      <w:pPr>
        <w:ind w:left="3600" w:hanging="360"/>
      </w:pPr>
    </w:lvl>
    <w:lvl w:ilvl="5" w:tplc="CC0C7B4A">
      <w:start w:val="1"/>
      <w:numFmt w:val="lowerRoman"/>
      <w:lvlText w:val="%6."/>
      <w:lvlJc w:val="right"/>
      <w:pPr>
        <w:ind w:left="4320" w:hanging="180"/>
      </w:pPr>
    </w:lvl>
    <w:lvl w:ilvl="6" w:tplc="2A961BE0">
      <w:start w:val="1"/>
      <w:numFmt w:val="decimal"/>
      <w:lvlText w:val="%7."/>
      <w:lvlJc w:val="left"/>
      <w:pPr>
        <w:ind w:left="5040" w:hanging="360"/>
      </w:pPr>
    </w:lvl>
    <w:lvl w:ilvl="7" w:tplc="E2F6B26A">
      <w:start w:val="1"/>
      <w:numFmt w:val="lowerLetter"/>
      <w:lvlText w:val="%8."/>
      <w:lvlJc w:val="left"/>
      <w:pPr>
        <w:ind w:left="5760" w:hanging="360"/>
      </w:pPr>
    </w:lvl>
    <w:lvl w:ilvl="8" w:tplc="FC5E6274">
      <w:start w:val="1"/>
      <w:numFmt w:val="lowerRoman"/>
      <w:lvlText w:val="%9."/>
      <w:lvlJc w:val="right"/>
      <w:pPr>
        <w:ind w:left="6480" w:hanging="180"/>
      </w:pPr>
    </w:lvl>
  </w:abstractNum>
  <w:abstractNum w:abstractNumId="1" w15:restartNumberingAfterBreak="0">
    <w:nsid w:val="251D701D"/>
    <w:multiLevelType w:val="hybridMultilevel"/>
    <w:tmpl w:val="A0BE3D4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B2B4B13"/>
    <w:multiLevelType w:val="hybridMultilevel"/>
    <w:tmpl w:val="BA6AFBF4"/>
    <w:lvl w:ilvl="0" w:tplc="64568ED8">
      <w:start w:val="1"/>
      <w:numFmt w:val="upperRoman"/>
      <w:lvlText w:val="%1."/>
      <w:lvlJc w:val="right"/>
      <w:pPr>
        <w:ind w:left="720" w:hanging="360"/>
      </w:pPr>
    </w:lvl>
    <w:lvl w:ilvl="1" w:tplc="84504F86">
      <w:start w:val="1"/>
      <w:numFmt w:val="lowerLetter"/>
      <w:lvlText w:val="%2."/>
      <w:lvlJc w:val="left"/>
      <w:pPr>
        <w:ind w:left="1440" w:hanging="360"/>
      </w:pPr>
    </w:lvl>
    <w:lvl w:ilvl="2" w:tplc="3CD29D22">
      <w:start w:val="1"/>
      <w:numFmt w:val="lowerRoman"/>
      <w:lvlText w:val="%3."/>
      <w:lvlJc w:val="right"/>
      <w:pPr>
        <w:ind w:left="2160" w:hanging="180"/>
      </w:pPr>
    </w:lvl>
    <w:lvl w:ilvl="3" w:tplc="AFAC0C68">
      <w:start w:val="1"/>
      <w:numFmt w:val="decimal"/>
      <w:lvlText w:val="%4."/>
      <w:lvlJc w:val="left"/>
      <w:pPr>
        <w:ind w:left="2880" w:hanging="360"/>
      </w:pPr>
    </w:lvl>
    <w:lvl w:ilvl="4" w:tplc="73E46EF4">
      <w:start w:val="1"/>
      <w:numFmt w:val="lowerLetter"/>
      <w:lvlText w:val="%5."/>
      <w:lvlJc w:val="left"/>
      <w:pPr>
        <w:ind w:left="3600" w:hanging="360"/>
      </w:pPr>
    </w:lvl>
    <w:lvl w:ilvl="5" w:tplc="F108626A">
      <w:start w:val="1"/>
      <w:numFmt w:val="lowerRoman"/>
      <w:lvlText w:val="%6."/>
      <w:lvlJc w:val="right"/>
      <w:pPr>
        <w:ind w:left="4320" w:hanging="180"/>
      </w:pPr>
    </w:lvl>
    <w:lvl w:ilvl="6" w:tplc="E9446998">
      <w:start w:val="1"/>
      <w:numFmt w:val="decimal"/>
      <w:lvlText w:val="%7."/>
      <w:lvlJc w:val="left"/>
      <w:pPr>
        <w:ind w:left="5040" w:hanging="360"/>
      </w:pPr>
    </w:lvl>
    <w:lvl w:ilvl="7" w:tplc="573C066C">
      <w:start w:val="1"/>
      <w:numFmt w:val="lowerLetter"/>
      <w:lvlText w:val="%8."/>
      <w:lvlJc w:val="left"/>
      <w:pPr>
        <w:ind w:left="5760" w:hanging="360"/>
      </w:pPr>
    </w:lvl>
    <w:lvl w:ilvl="8" w:tplc="A27C04EA">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5A"/>
    <w:rsid w:val="00021CC2"/>
    <w:rsid w:val="00092056"/>
    <w:rsid w:val="000A3A5E"/>
    <w:rsid w:val="000B16D2"/>
    <w:rsid w:val="000C2E5A"/>
    <w:rsid w:val="000E600C"/>
    <w:rsid w:val="00136750"/>
    <w:rsid w:val="00192B93"/>
    <w:rsid w:val="0019637F"/>
    <w:rsid w:val="001E7E73"/>
    <w:rsid w:val="00217EBF"/>
    <w:rsid w:val="002E5DEE"/>
    <w:rsid w:val="0030698C"/>
    <w:rsid w:val="003A7ABE"/>
    <w:rsid w:val="004471DC"/>
    <w:rsid w:val="0047687E"/>
    <w:rsid w:val="004C4EE9"/>
    <w:rsid w:val="004E4623"/>
    <w:rsid w:val="005140A8"/>
    <w:rsid w:val="00516A97"/>
    <w:rsid w:val="005251FF"/>
    <w:rsid w:val="005618E0"/>
    <w:rsid w:val="0057535C"/>
    <w:rsid w:val="005E4028"/>
    <w:rsid w:val="00620EF6"/>
    <w:rsid w:val="006F2713"/>
    <w:rsid w:val="007869E1"/>
    <w:rsid w:val="007F72A7"/>
    <w:rsid w:val="008B6CF5"/>
    <w:rsid w:val="008F198C"/>
    <w:rsid w:val="009170EE"/>
    <w:rsid w:val="00936F63"/>
    <w:rsid w:val="009D6808"/>
    <w:rsid w:val="00A363DC"/>
    <w:rsid w:val="00A526BB"/>
    <w:rsid w:val="00A60686"/>
    <w:rsid w:val="00A8728C"/>
    <w:rsid w:val="00A963F7"/>
    <w:rsid w:val="00B17322"/>
    <w:rsid w:val="00B237FB"/>
    <w:rsid w:val="00B5466D"/>
    <w:rsid w:val="00B77512"/>
    <w:rsid w:val="00B90DC3"/>
    <w:rsid w:val="00BB5C94"/>
    <w:rsid w:val="00C41EBE"/>
    <w:rsid w:val="00C45521"/>
    <w:rsid w:val="00C96A55"/>
    <w:rsid w:val="00CD708D"/>
    <w:rsid w:val="00CE4502"/>
    <w:rsid w:val="00CF7773"/>
    <w:rsid w:val="00D378FB"/>
    <w:rsid w:val="00D71879"/>
    <w:rsid w:val="00D90909"/>
    <w:rsid w:val="00E04C04"/>
    <w:rsid w:val="00E14DCA"/>
    <w:rsid w:val="00E424AB"/>
    <w:rsid w:val="00E74F48"/>
    <w:rsid w:val="00E82786"/>
    <w:rsid w:val="00EF0A74"/>
    <w:rsid w:val="00F652FD"/>
    <w:rsid w:val="00F94B43"/>
    <w:rsid w:val="00FB3E5B"/>
    <w:rsid w:val="00FF0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13C5"/>
  <w15:chartTrackingRefBased/>
  <w15:docId w15:val="{5296E201-00D5-4BBE-9F21-79C5B30E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0C2E5A"/>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0C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77512"/>
    <w:rPr>
      <w:sz w:val="16"/>
      <w:szCs w:val="16"/>
    </w:rPr>
  </w:style>
  <w:style w:type="paragraph" w:styleId="Commentaire">
    <w:name w:val="annotation text"/>
    <w:basedOn w:val="Normal"/>
    <w:link w:val="CommentaireCar"/>
    <w:uiPriority w:val="99"/>
    <w:semiHidden/>
    <w:unhideWhenUsed/>
    <w:rsid w:val="00B77512"/>
    <w:rPr>
      <w:sz w:val="20"/>
      <w:szCs w:val="20"/>
    </w:rPr>
  </w:style>
  <w:style w:type="character" w:customStyle="1" w:styleId="CommentaireCar">
    <w:name w:val="Commentaire Car"/>
    <w:basedOn w:val="Policepardfaut"/>
    <w:link w:val="Commentaire"/>
    <w:uiPriority w:val="99"/>
    <w:semiHidden/>
    <w:rsid w:val="00B77512"/>
    <w:rPr>
      <w:sz w:val="20"/>
      <w:szCs w:val="20"/>
    </w:rPr>
  </w:style>
  <w:style w:type="paragraph" w:styleId="Objetducommentaire">
    <w:name w:val="annotation subject"/>
    <w:basedOn w:val="Commentaire"/>
    <w:next w:val="Commentaire"/>
    <w:link w:val="ObjetducommentaireCar"/>
    <w:uiPriority w:val="99"/>
    <w:semiHidden/>
    <w:unhideWhenUsed/>
    <w:rsid w:val="00B77512"/>
    <w:rPr>
      <w:b/>
      <w:bCs/>
    </w:rPr>
  </w:style>
  <w:style w:type="character" w:customStyle="1" w:styleId="ObjetducommentaireCar">
    <w:name w:val="Objet du commentaire Car"/>
    <w:basedOn w:val="CommentaireCar"/>
    <w:link w:val="Objetducommentaire"/>
    <w:uiPriority w:val="99"/>
    <w:semiHidden/>
    <w:rsid w:val="00B77512"/>
    <w:rPr>
      <w:b/>
      <w:bCs/>
      <w:sz w:val="20"/>
      <w:szCs w:val="20"/>
    </w:rPr>
  </w:style>
  <w:style w:type="paragraph" w:styleId="Textedebulles">
    <w:name w:val="Balloon Text"/>
    <w:basedOn w:val="Normal"/>
    <w:link w:val="TextedebullesCar"/>
    <w:uiPriority w:val="99"/>
    <w:semiHidden/>
    <w:unhideWhenUsed/>
    <w:rsid w:val="00B775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7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885</Words>
  <Characters>4872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GRONDEUX</dc:creator>
  <cp:keywords/>
  <dc:description/>
  <cp:lastModifiedBy>JEROME GRONDEUX</cp:lastModifiedBy>
  <cp:revision>4</cp:revision>
  <dcterms:created xsi:type="dcterms:W3CDTF">2022-02-04T10:42:00Z</dcterms:created>
  <dcterms:modified xsi:type="dcterms:W3CDTF">2022-02-04T10:55:00Z</dcterms:modified>
</cp:coreProperties>
</file>